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899E6" w14:textId="20AB95D0" w:rsidR="00564695" w:rsidRPr="00A0442B" w:rsidRDefault="00D4274A">
      <w:pPr>
        <w:rPr>
          <w:rFonts w:asciiTheme="majorHAnsi" w:hAnsiTheme="majorHAnsi" w:cstheme="majorHAnsi"/>
        </w:rPr>
      </w:pPr>
      <w:r w:rsidRPr="00A0442B">
        <w:rPr>
          <w:rFonts w:asciiTheme="majorHAnsi" w:hAnsiTheme="majorHAnsi" w:cstheme="majorHAnsi"/>
          <w:b/>
          <w:noProof/>
          <w:sz w:val="24"/>
          <w:u w:val="thick"/>
          <w:lang w:eastAsia="fr-FR"/>
        </w:rPr>
        <w:drawing>
          <wp:anchor distT="0" distB="0" distL="114300" distR="114300" simplePos="0" relativeHeight="251661312" behindDoc="0" locked="0" layoutInCell="1" allowOverlap="1" wp14:anchorId="28A0E66D" wp14:editId="142AEE18">
            <wp:simplePos x="0" y="0"/>
            <wp:positionH relativeFrom="margin">
              <wp:align>right</wp:align>
            </wp:positionH>
            <wp:positionV relativeFrom="paragraph">
              <wp:posOffset>0</wp:posOffset>
            </wp:positionV>
            <wp:extent cx="1315085" cy="1005205"/>
            <wp:effectExtent l="0" t="0" r="0" b="4445"/>
            <wp:wrapTopAndBottom/>
            <wp:docPr id="2" name="Picture 2" descr="C:\Users\JERMEL\Pictures\Logo_MEP\page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MEL\Pictures\Logo_MEP\page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08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FD6">
        <w:rPr>
          <w:rFonts w:asciiTheme="majorHAnsi" w:hAnsiTheme="majorHAnsi" w:cstheme="majorHAnsi"/>
        </w:rPr>
        <w:pict w14:anchorId="51EA4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pt;margin-top:0;width:83.7pt;height:82.4pt;z-index:251659264;mso-position-horizontal-relative:text;mso-position-vertical-relative:text">
            <v:imagedata r:id="rId9" o:title="ooas_2"/>
            <w10:wrap type="topAndBottom"/>
          </v:shape>
        </w:pict>
      </w:r>
    </w:p>
    <w:p w14:paraId="56FCF171" w14:textId="6207CF5C" w:rsidR="00BF7F06" w:rsidRPr="00A0442B" w:rsidRDefault="00BF7F06" w:rsidP="00DF3295">
      <w:pPr>
        <w:pBdr>
          <w:bottom w:val="single" w:sz="12" w:space="1" w:color="auto"/>
        </w:pBdr>
        <w:jc w:val="center"/>
        <w:rPr>
          <w:rFonts w:asciiTheme="majorHAnsi" w:hAnsiTheme="majorHAnsi" w:cstheme="majorHAnsi"/>
          <w:b/>
          <w:sz w:val="32"/>
        </w:rPr>
      </w:pPr>
      <w:r w:rsidRPr="00A0442B">
        <w:rPr>
          <w:rFonts w:asciiTheme="majorHAnsi" w:hAnsiTheme="majorHAnsi" w:cstheme="majorHAnsi"/>
          <w:b/>
          <w:sz w:val="32"/>
        </w:rPr>
        <w:t>RECRUTEMENT D'UN CONSULTANT POUR ÉLABORER UN GUIDE DE FORMULATION DE POLITIQUES FONDÉES SUR DES DONNÉES PROBANTES POUR L'ORGANISATION OUEST-AFRICAINE DE LA SANTÉ (OOAS)</w:t>
      </w:r>
    </w:p>
    <w:p w14:paraId="54F50B74" w14:textId="77777777" w:rsidR="00BF7F06" w:rsidRPr="00A0442B" w:rsidRDefault="00BF7F06" w:rsidP="00BF7F06">
      <w:pPr>
        <w:jc w:val="center"/>
        <w:rPr>
          <w:rFonts w:asciiTheme="majorHAnsi" w:hAnsiTheme="majorHAnsi" w:cstheme="majorHAnsi"/>
          <w:b/>
          <w:sz w:val="32"/>
        </w:rPr>
      </w:pPr>
    </w:p>
    <w:p w14:paraId="2F7A6A15" w14:textId="269FCB77" w:rsidR="00DF3295" w:rsidRPr="00A0442B" w:rsidRDefault="00BF7F06" w:rsidP="00DF3295">
      <w:pPr>
        <w:jc w:val="center"/>
        <w:rPr>
          <w:rFonts w:asciiTheme="majorHAnsi" w:hAnsiTheme="majorHAnsi" w:cstheme="majorHAnsi"/>
          <w:b/>
          <w:sz w:val="22"/>
          <w:u w:val="single"/>
        </w:rPr>
      </w:pPr>
      <w:r w:rsidRPr="00A0442B">
        <w:rPr>
          <w:rFonts w:asciiTheme="majorHAnsi" w:hAnsiTheme="majorHAnsi" w:cstheme="majorHAnsi"/>
          <w:b/>
          <w:sz w:val="22"/>
          <w:u w:val="single"/>
        </w:rPr>
        <w:t>TERMES DE</w:t>
      </w:r>
      <w:r w:rsidR="00DF3295" w:rsidRPr="00A0442B">
        <w:rPr>
          <w:rFonts w:asciiTheme="majorHAnsi" w:hAnsiTheme="majorHAnsi" w:cstheme="majorHAnsi"/>
          <w:b/>
          <w:sz w:val="22"/>
          <w:u w:val="single"/>
        </w:rPr>
        <w:t xml:space="preserve"> REFERENCES</w:t>
      </w:r>
    </w:p>
    <w:p w14:paraId="09F46F21" w14:textId="5EF1279F" w:rsidR="0036543F" w:rsidRPr="00A0442B" w:rsidRDefault="00E35E16" w:rsidP="00677CB5">
      <w:pPr>
        <w:pStyle w:val="Paragraphedeliste"/>
        <w:numPr>
          <w:ilvl w:val="0"/>
          <w:numId w:val="4"/>
        </w:numPr>
        <w:jc w:val="both"/>
        <w:rPr>
          <w:rFonts w:asciiTheme="majorHAnsi" w:hAnsiTheme="majorHAnsi" w:cstheme="majorHAnsi"/>
          <w:b/>
          <w:sz w:val="24"/>
          <w:szCs w:val="24"/>
        </w:rPr>
      </w:pPr>
      <w:r w:rsidRPr="00A0442B">
        <w:rPr>
          <w:rFonts w:asciiTheme="majorHAnsi" w:hAnsiTheme="majorHAnsi" w:cstheme="majorHAnsi"/>
          <w:b/>
          <w:sz w:val="24"/>
          <w:szCs w:val="24"/>
        </w:rPr>
        <w:t>Context</w:t>
      </w:r>
      <w:r w:rsidR="00BF7F06" w:rsidRPr="00A0442B">
        <w:rPr>
          <w:rFonts w:asciiTheme="majorHAnsi" w:hAnsiTheme="majorHAnsi" w:cstheme="majorHAnsi"/>
          <w:b/>
          <w:sz w:val="24"/>
          <w:szCs w:val="24"/>
        </w:rPr>
        <w:t>e</w:t>
      </w:r>
    </w:p>
    <w:p w14:paraId="4913305F" w14:textId="77777777" w:rsidR="00AE067A" w:rsidRPr="00A0442B" w:rsidRDefault="00AE067A" w:rsidP="00AE067A">
      <w:pPr>
        <w:spacing w:line="276" w:lineRule="auto"/>
        <w:jc w:val="both"/>
        <w:rPr>
          <w:rFonts w:asciiTheme="majorHAnsi" w:hAnsiTheme="majorHAnsi" w:cstheme="majorHAnsi"/>
          <w:sz w:val="24"/>
          <w:szCs w:val="24"/>
        </w:rPr>
      </w:pPr>
      <w:r w:rsidRPr="00A0442B">
        <w:rPr>
          <w:rFonts w:asciiTheme="majorHAnsi" w:hAnsiTheme="majorHAnsi" w:cstheme="majorHAnsi"/>
          <w:sz w:val="24"/>
          <w:szCs w:val="24"/>
        </w:rPr>
        <w:t xml:space="preserve">L'Organisation Ouest Africaine de la Santé (OOAS) met en œuvre le projet de recherche " </w:t>
      </w:r>
      <w:proofErr w:type="spellStart"/>
      <w:r w:rsidRPr="00A0442B">
        <w:rPr>
          <w:rFonts w:asciiTheme="majorHAnsi" w:hAnsiTheme="majorHAnsi" w:cstheme="majorHAnsi"/>
          <w:sz w:val="24"/>
          <w:szCs w:val="24"/>
        </w:rPr>
        <w:t>Moving</w:t>
      </w:r>
      <w:proofErr w:type="spellEnd"/>
      <w:r w:rsidRPr="00A0442B">
        <w:rPr>
          <w:rFonts w:asciiTheme="majorHAnsi" w:hAnsiTheme="majorHAnsi" w:cstheme="majorHAnsi"/>
          <w:sz w:val="24"/>
          <w:szCs w:val="24"/>
        </w:rPr>
        <w:t xml:space="preserve"> </w:t>
      </w:r>
      <w:proofErr w:type="spellStart"/>
      <w:r w:rsidRPr="00A0442B">
        <w:rPr>
          <w:rFonts w:asciiTheme="majorHAnsi" w:hAnsiTheme="majorHAnsi" w:cstheme="majorHAnsi"/>
          <w:sz w:val="24"/>
          <w:szCs w:val="24"/>
        </w:rPr>
        <w:t>maternal</w:t>
      </w:r>
      <w:proofErr w:type="spellEnd"/>
      <w:r w:rsidRPr="00A0442B">
        <w:rPr>
          <w:rFonts w:asciiTheme="majorHAnsi" w:hAnsiTheme="majorHAnsi" w:cstheme="majorHAnsi"/>
          <w:sz w:val="24"/>
          <w:szCs w:val="24"/>
        </w:rPr>
        <w:t xml:space="preserve">, </w:t>
      </w:r>
      <w:proofErr w:type="spellStart"/>
      <w:r w:rsidRPr="00A0442B">
        <w:rPr>
          <w:rFonts w:asciiTheme="majorHAnsi" w:hAnsiTheme="majorHAnsi" w:cstheme="majorHAnsi"/>
          <w:sz w:val="24"/>
          <w:szCs w:val="24"/>
        </w:rPr>
        <w:t>newborn</w:t>
      </w:r>
      <w:proofErr w:type="spellEnd"/>
      <w:r w:rsidRPr="00A0442B">
        <w:rPr>
          <w:rFonts w:asciiTheme="majorHAnsi" w:hAnsiTheme="majorHAnsi" w:cstheme="majorHAnsi"/>
          <w:sz w:val="24"/>
          <w:szCs w:val="24"/>
        </w:rPr>
        <w:t xml:space="preserve"> and </w:t>
      </w:r>
      <w:proofErr w:type="spellStart"/>
      <w:r w:rsidRPr="00A0442B">
        <w:rPr>
          <w:rFonts w:asciiTheme="majorHAnsi" w:hAnsiTheme="majorHAnsi" w:cstheme="majorHAnsi"/>
          <w:sz w:val="24"/>
          <w:szCs w:val="24"/>
        </w:rPr>
        <w:t>child</w:t>
      </w:r>
      <w:proofErr w:type="spellEnd"/>
      <w:r w:rsidRPr="00A0442B">
        <w:rPr>
          <w:rFonts w:asciiTheme="majorHAnsi" w:hAnsiTheme="majorHAnsi" w:cstheme="majorHAnsi"/>
          <w:sz w:val="24"/>
          <w:szCs w:val="24"/>
        </w:rPr>
        <w:t xml:space="preserve"> </w:t>
      </w:r>
      <w:proofErr w:type="spellStart"/>
      <w:r w:rsidRPr="00A0442B">
        <w:rPr>
          <w:rFonts w:asciiTheme="majorHAnsi" w:hAnsiTheme="majorHAnsi" w:cstheme="majorHAnsi"/>
          <w:sz w:val="24"/>
          <w:szCs w:val="24"/>
        </w:rPr>
        <w:t>health</w:t>
      </w:r>
      <w:proofErr w:type="spellEnd"/>
      <w:r w:rsidRPr="00A0442B">
        <w:rPr>
          <w:rFonts w:asciiTheme="majorHAnsi" w:hAnsiTheme="majorHAnsi" w:cstheme="majorHAnsi"/>
          <w:sz w:val="24"/>
          <w:szCs w:val="24"/>
        </w:rPr>
        <w:t xml:space="preserve"> Evidence </w:t>
      </w:r>
      <w:proofErr w:type="spellStart"/>
      <w:r w:rsidRPr="00A0442B">
        <w:rPr>
          <w:rFonts w:asciiTheme="majorHAnsi" w:hAnsiTheme="majorHAnsi" w:cstheme="majorHAnsi"/>
          <w:sz w:val="24"/>
          <w:szCs w:val="24"/>
        </w:rPr>
        <w:t>into</w:t>
      </w:r>
      <w:proofErr w:type="spellEnd"/>
      <w:r w:rsidRPr="00A0442B">
        <w:rPr>
          <w:rFonts w:asciiTheme="majorHAnsi" w:hAnsiTheme="majorHAnsi" w:cstheme="majorHAnsi"/>
          <w:sz w:val="24"/>
          <w:szCs w:val="24"/>
        </w:rPr>
        <w:t xml:space="preserve"> Policy (MEP) in West Africa " dans le cadre de l'Initiative canadienne pour l'innovation en santé maternelle et infantile en Afrique (IMCHA). Le projet vise à promouvoir l'utilisation des évidences scientifiques dans la prise de décision et la pratique pour améliorer la santé maternelle et infantile dans l'espace CEDEAO. Une plate-forme régionale a été mise en place pour appuyer l'utilisation des données probantes sur les résultats de l'analyse de la situation menée aux niveaux national et régional. Au-delà des compétences individuelles et des facteurs organisationnels, l'institutionnalisation de l'utilisation des données probantes au niveau des services de santé ministériels constitue un élément clé pour l'utilisation efficace et durable des données probantes. A ces fins, l'OOAS a fait adopter par l'Assemblée des Ministres de la Santé de la CEDEAO, lors de sa 18ème session ordinaire en juin 2017 à Abuja, Nigeria, une résolution sur l'utilisation des preuves dans le développement et la mise en œuvre des plans et protocoles politiques pour les soins. Pour assurer l'utilisation efficace des données probantes dans la prise de décisions et la pratique en matière de santé, les décideurs ont besoin de soutien sous forme d'outils pratiques et d'accompagnement. C'est dans cette perspective que l'OOAS a décidé de développer un guide pratique pour l'utilisation des données probantes dans le développement et la mise en œuvre des politiques de santé dans l'espace CEDEAO.</w:t>
      </w:r>
    </w:p>
    <w:p w14:paraId="249C3928" w14:textId="0A052997" w:rsidR="002C6B0C" w:rsidRPr="00A0442B" w:rsidRDefault="00AE067A" w:rsidP="00E35E16">
      <w:pPr>
        <w:pStyle w:val="Paragraphedeliste"/>
        <w:numPr>
          <w:ilvl w:val="0"/>
          <w:numId w:val="4"/>
        </w:numPr>
        <w:jc w:val="both"/>
        <w:rPr>
          <w:rFonts w:asciiTheme="majorHAnsi" w:hAnsiTheme="majorHAnsi" w:cstheme="majorHAnsi"/>
          <w:b/>
          <w:sz w:val="24"/>
          <w:szCs w:val="24"/>
        </w:rPr>
      </w:pPr>
      <w:r w:rsidRPr="00A0442B">
        <w:rPr>
          <w:rFonts w:asciiTheme="majorHAnsi" w:hAnsiTheme="majorHAnsi" w:cstheme="majorHAnsi"/>
          <w:b/>
          <w:sz w:val="24"/>
          <w:szCs w:val="24"/>
        </w:rPr>
        <w:t>Objectif</w:t>
      </w:r>
      <w:r w:rsidR="001D3B61" w:rsidRPr="00A0442B">
        <w:rPr>
          <w:rFonts w:asciiTheme="majorHAnsi" w:hAnsiTheme="majorHAnsi" w:cstheme="majorHAnsi"/>
          <w:b/>
          <w:sz w:val="24"/>
          <w:szCs w:val="24"/>
        </w:rPr>
        <w:t>s</w:t>
      </w:r>
    </w:p>
    <w:p w14:paraId="7C33FBA9" w14:textId="77777777" w:rsidR="00AE067A" w:rsidRPr="00A0442B" w:rsidRDefault="00AE067A" w:rsidP="00AE067A">
      <w:pPr>
        <w:jc w:val="both"/>
        <w:rPr>
          <w:rFonts w:asciiTheme="majorHAnsi" w:hAnsiTheme="majorHAnsi" w:cstheme="majorHAnsi"/>
          <w:sz w:val="24"/>
          <w:szCs w:val="24"/>
        </w:rPr>
      </w:pPr>
      <w:r w:rsidRPr="00A0442B">
        <w:rPr>
          <w:rFonts w:asciiTheme="majorHAnsi" w:hAnsiTheme="majorHAnsi" w:cstheme="majorHAnsi"/>
          <w:sz w:val="24"/>
          <w:szCs w:val="24"/>
        </w:rPr>
        <w:t>L'objectif principal est de développer un guide adapté pour l'utilisation des données probantes dans le développement et la mise en œuvre des politiques, plans et protocoles de santé dans l'espace CEDEAO.</w:t>
      </w:r>
    </w:p>
    <w:p w14:paraId="714A7854" w14:textId="134ABE87" w:rsidR="00AE067A" w:rsidRPr="00A0442B" w:rsidRDefault="00AE067A" w:rsidP="00AE067A">
      <w:pPr>
        <w:jc w:val="both"/>
        <w:rPr>
          <w:rFonts w:asciiTheme="majorHAnsi" w:hAnsiTheme="majorHAnsi" w:cstheme="majorHAnsi"/>
          <w:sz w:val="24"/>
          <w:szCs w:val="24"/>
        </w:rPr>
      </w:pPr>
      <w:r w:rsidRPr="00A0442B">
        <w:rPr>
          <w:rFonts w:asciiTheme="majorHAnsi" w:hAnsiTheme="majorHAnsi" w:cstheme="majorHAnsi"/>
          <w:sz w:val="24"/>
          <w:szCs w:val="24"/>
        </w:rPr>
        <w:t>Plus précisément, il s’agira de :</w:t>
      </w:r>
    </w:p>
    <w:p w14:paraId="50F72B1F" w14:textId="7DE4603D" w:rsidR="00AE067A" w:rsidRPr="00A0442B" w:rsidRDefault="00AE067A" w:rsidP="00AE067A">
      <w:pPr>
        <w:pStyle w:val="Paragraphedeliste"/>
        <w:numPr>
          <w:ilvl w:val="0"/>
          <w:numId w:val="9"/>
        </w:numPr>
        <w:jc w:val="both"/>
        <w:rPr>
          <w:rFonts w:asciiTheme="majorHAnsi" w:hAnsiTheme="majorHAnsi" w:cstheme="majorHAnsi"/>
          <w:sz w:val="24"/>
          <w:szCs w:val="24"/>
        </w:rPr>
      </w:pPr>
      <w:r w:rsidRPr="00A0442B">
        <w:rPr>
          <w:rFonts w:asciiTheme="majorHAnsi" w:hAnsiTheme="majorHAnsi" w:cstheme="majorHAnsi"/>
          <w:sz w:val="24"/>
          <w:szCs w:val="24"/>
        </w:rPr>
        <w:t>Procéder à un</w:t>
      </w:r>
      <w:r w:rsidR="00A0442B" w:rsidRPr="00A0442B">
        <w:rPr>
          <w:rFonts w:asciiTheme="majorHAnsi" w:hAnsiTheme="majorHAnsi" w:cstheme="majorHAnsi"/>
          <w:sz w:val="24"/>
          <w:szCs w:val="24"/>
        </w:rPr>
        <w:t xml:space="preserve">e revue </w:t>
      </w:r>
      <w:r w:rsidRPr="00A0442B">
        <w:rPr>
          <w:rFonts w:asciiTheme="majorHAnsi" w:hAnsiTheme="majorHAnsi" w:cstheme="majorHAnsi"/>
          <w:sz w:val="24"/>
          <w:szCs w:val="24"/>
        </w:rPr>
        <w:t>du processus de formulation et de mise en œuvre des politiques de santé dans les pays de la CEDEAO ;</w:t>
      </w:r>
    </w:p>
    <w:p w14:paraId="353E20CD" w14:textId="2B4932B3" w:rsidR="00AE067A" w:rsidRPr="00A0442B" w:rsidRDefault="00AE067A" w:rsidP="00AE067A">
      <w:pPr>
        <w:pStyle w:val="Paragraphedeliste"/>
        <w:numPr>
          <w:ilvl w:val="0"/>
          <w:numId w:val="9"/>
        </w:numPr>
        <w:jc w:val="both"/>
        <w:rPr>
          <w:rFonts w:asciiTheme="majorHAnsi" w:hAnsiTheme="majorHAnsi" w:cstheme="majorHAnsi"/>
          <w:sz w:val="24"/>
          <w:szCs w:val="24"/>
        </w:rPr>
      </w:pPr>
      <w:r w:rsidRPr="00A0442B">
        <w:rPr>
          <w:rFonts w:asciiTheme="majorHAnsi" w:hAnsiTheme="majorHAnsi" w:cstheme="majorHAnsi"/>
          <w:sz w:val="24"/>
          <w:szCs w:val="24"/>
        </w:rPr>
        <w:t>Procéder à un</w:t>
      </w:r>
      <w:r w:rsidR="00A0442B" w:rsidRPr="00A0442B">
        <w:rPr>
          <w:rFonts w:asciiTheme="majorHAnsi" w:hAnsiTheme="majorHAnsi" w:cstheme="majorHAnsi"/>
          <w:sz w:val="24"/>
          <w:szCs w:val="24"/>
        </w:rPr>
        <w:t>e revue</w:t>
      </w:r>
      <w:r w:rsidRPr="00A0442B">
        <w:rPr>
          <w:rFonts w:asciiTheme="majorHAnsi" w:hAnsiTheme="majorHAnsi" w:cstheme="majorHAnsi"/>
          <w:sz w:val="24"/>
          <w:szCs w:val="24"/>
        </w:rPr>
        <w:t xml:space="preserve"> des guides d'utilisation des données probantes</w:t>
      </w:r>
      <w:r w:rsidR="00A0442B" w:rsidRPr="00A0442B">
        <w:rPr>
          <w:rFonts w:asciiTheme="majorHAnsi" w:hAnsiTheme="majorHAnsi" w:cstheme="majorHAnsi"/>
          <w:sz w:val="24"/>
          <w:szCs w:val="24"/>
        </w:rPr>
        <w:t xml:space="preserve"> existants;</w:t>
      </w:r>
    </w:p>
    <w:p w14:paraId="2B2D30F6" w14:textId="47278D3D" w:rsidR="00316CAB" w:rsidRPr="00A0442B" w:rsidRDefault="00AE067A" w:rsidP="003B77D2">
      <w:pPr>
        <w:pStyle w:val="Paragraphedeliste"/>
        <w:numPr>
          <w:ilvl w:val="0"/>
          <w:numId w:val="9"/>
        </w:numPr>
        <w:jc w:val="both"/>
        <w:rPr>
          <w:rFonts w:asciiTheme="majorHAnsi" w:hAnsiTheme="majorHAnsi" w:cstheme="majorHAnsi"/>
          <w:sz w:val="24"/>
          <w:szCs w:val="24"/>
        </w:rPr>
      </w:pPr>
      <w:r w:rsidRPr="00A0442B">
        <w:rPr>
          <w:rFonts w:asciiTheme="majorHAnsi" w:hAnsiTheme="majorHAnsi" w:cstheme="majorHAnsi"/>
          <w:sz w:val="24"/>
          <w:szCs w:val="24"/>
        </w:rPr>
        <w:t>Élaborer un guide pratique pour l'utilisation des données probantes dans la formulation et la mise en œuvre de politiques de santé adaptées au contexte des pays de la CEDEAO ;</w:t>
      </w:r>
    </w:p>
    <w:p w14:paraId="57938043" w14:textId="3F7354E0" w:rsidR="00CA4C80" w:rsidRPr="00A0442B" w:rsidRDefault="00A0442B" w:rsidP="003B77D2">
      <w:pPr>
        <w:pStyle w:val="Paragraphedeliste"/>
        <w:numPr>
          <w:ilvl w:val="0"/>
          <w:numId w:val="4"/>
        </w:numPr>
        <w:jc w:val="both"/>
        <w:rPr>
          <w:rFonts w:asciiTheme="majorHAnsi" w:hAnsiTheme="majorHAnsi" w:cstheme="majorHAnsi"/>
          <w:b/>
          <w:sz w:val="24"/>
          <w:szCs w:val="24"/>
        </w:rPr>
      </w:pPr>
      <w:r w:rsidRPr="00A0442B">
        <w:rPr>
          <w:rFonts w:asciiTheme="majorHAnsi" w:hAnsiTheme="majorHAnsi" w:cstheme="majorHAnsi"/>
          <w:b/>
          <w:sz w:val="24"/>
          <w:szCs w:val="24"/>
        </w:rPr>
        <w:lastRenderedPageBreak/>
        <w:t>Approche méthodologique</w:t>
      </w:r>
      <w:r w:rsidR="00A71A81" w:rsidRPr="00A0442B">
        <w:rPr>
          <w:rFonts w:asciiTheme="majorHAnsi" w:hAnsiTheme="majorHAnsi" w:cstheme="majorHAnsi"/>
          <w:b/>
          <w:sz w:val="24"/>
          <w:szCs w:val="24"/>
        </w:rPr>
        <w:t xml:space="preserve"> </w:t>
      </w:r>
    </w:p>
    <w:p w14:paraId="74EF180F" w14:textId="77777777" w:rsidR="00A0442B" w:rsidRPr="00A0442B" w:rsidRDefault="00A0442B" w:rsidP="00A0442B">
      <w:pPr>
        <w:spacing w:line="276" w:lineRule="auto"/>
        <w:jc w:val="both"/>
        <w:rPr>
          <w:rFonts w:asciiTheme="majorHAnsi" w:hAnsiTheme="majorHAnsi" w:cstheme="majorHAnsi"/>
          <w:sz w:val="24"/>
          <w:szCs w:val="24"/>
        </w:rPr>
      </w:pPr>
      <w:r w:rsidRPr="00A0442B">
        <w:rPr>
          <w:rFonts w:asciiTheme="majorHAnsi" w:hAnsiTheme="majorHAnsi" w:cstheme="majorHAnsi"/>
          <w:sz w:val="24"/>
          <w:szCs w:val="24"/>
        </w:rPr>
        <w:t xml:space="preserve">Le consultant effectuera une étude documentaire sur le processus d'élaboration et de mise en œuvre des politiques de santé dans les quinze pays de la CEDEAO. Les types de données probantes nécessaires à chaque étape de l'élaboration et de la mise en œuvre de la politique seront déterminés. Un cadre clair d'élaboration des politiques et des données probantes connexes sera élaboré. </w:t>
      </w:r>
    </w:p>
    <w:p w14:paraId="60C90103" w14:textId="25B3A217" w:rsidR="00715975" w:rsidRPr="00A0442B" w:rsidRDefault="00A0442B" w:rsidP="00A0442B">
      <w:pPr>
        <w:spacing w:line="276" w:lineRule="auto"/>
        <w:jc w:val="both"/>
        <w:rPr>
          <w:rFonts w:asciiTheme="majorHAnsi" w:hAnsiTheme="majorHAnsi" w:cstheme="majorHAnsi"/>
          <w:sz w:val="24"/>
          <w:szCs w:val="24"/>
        </w:rPr>
      </w:pPr>
      <w:r w:rsidRPr="00A0442B">
        <w:rPr>
          <w:rFonts w:asciiTheme="majorHAnsi" w:hAnsiTheme="majorHAnsi" w:cstheme="majorHAnsi"/>
          <w:sz w:val="24"/>
          <w:szCs w:val="24"/>
        </w:rPr>
        <w:t>Ensuite, une revue des lignes guides existantes de l'élaboration de politiques fondées sur des données probantes (EBPM) sera effectuée, et la production d'une ligne directrice pratique avec des outils d'EBPM adaptés au contexte des pays de la CEDEAO</w:t>
      </w:r>
      <w:r w:rsidR="00BE39B7" w:rsidRPr="00A0442B">
        <w:rPr>
          <w:rFonts w:asciiTheme="majorHAnsi" w:hAnsiTheme="majorHAnsi" w:cstheme="majorHAnsi"/>
          <w:sz w:val="24"/>
          <w:szCs w:val="24"/>
        </w:rPr>
        <w:t>.</w:t>
      </w:r>
    </w:p>
    <w:p w14:paraId="074DB5A6" w14:textId="58AE8F71" w:rsidR="00A71A81" w:rsidRPr="00A0442B" w:rsidRDefault="00A0442B" w:rsidP="000F7746">
      <w:pPr>
        <w:pStyle w:val="Paragraphedeliste"/>
        <w:numPr>
          <w:ilvl w:val="0"/>
          <w:numId w:val="4"/>
        </w:numPr>
        <w:spacing w:before="240"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Les étapes de la </w:t>
      </w:r>
      <w:r w:rsidR="00A71A81" w:rsidRPr="00A0442B">
        <w:rPr>
          <w:rFonts w:asciiTheme="majorHAnsi" w:hAnsiTheme="majorHAnsi" w:cstheme="majorHAnsi"/>
          <w:b/>
          <w:sz w:val="24"/>
          <w:szCs w:val="24"/>
        </w:rPr>
        <w:t xml:space="preserve">consultation </w:t>
      </w:r>
    </w:p>
    <w:p w14:paraId="362C5675" w14:textId="173760FA" w:rsidR="00A0442B" w:rsidRPr="00A0442B" w:rsidRDefault="00A0442B" w:rsidP="00BE092C">
      <w:pPr>
        <w:pStyle w:val="Paragraphedeliste"/>
        <w:numPr>
          <w:ilvl w:val="1"/>
          <w:numId w:val="4"/>
        </w:numPr>
        <w:spacing w:before="240" w:after="0" w:line="276" w:lineRule="auto"/>
        <w:jc w:val="both"/>
        <w:rPr>
          <w:rFonts w:asciiTheme="majorHAnsi" w:hAnsiTheme="majorHAnsi" w:cstheme="majorHAnsi"/>
          <w:sz w:val="24"/>
          <w:szCs w:val="24"/>
        </w:rPr>
      </w:pPr>
      <w:r w:rsidRPr="00A0442B">
        <w:rPr>
          <w:rFonts w:asciiTheme="majorHAnsi" w:hAnsiTheme="majorHAnsi" w:cstheme="majorHAnsi"/>
          <w:sz w:val="24"/>
          <w:szCs w:val="24"/>
        </w:rPr>
        <w:t>Étude documentaire sur le processus d'élaboration des politiques dans les pays de la CEDEAO</w:t>
      </w:r>
    </w:p>
    <w:p w14:paraId="5DFD9F11" w14:textId="70BE2A9A" w:rsidR="00A0442B" w:rsidRPr="00A0442B" w:rsidRDefault="00A0442B" w:rsidP="00BE092C">
      <w:pPr>
        <w:pStyle w:val="Paragraphedeliste"/>
        <w:numPr>
          <w:ilvl w:val="1"/>
          <w:numId w:val="4"/>
        </w:numPr>
        <w:spacing w:before="240" w:after="0" w:line="276" w:lineRule="auto"/>
        <w:jc w:val="both"/>
        <w:rPr>
          <w:rFonts w:asciiTheme="majorHAnsi" w:hAnsiTheme="majorHAnsi" w:cstheme="majorHAnsi"/>
          <w:sz w:val="24"/>
          <w:szCs w:val="24"/>
        </w:rPr>
      </w:pPr>
      <w:r w:rsidRPr="00A0442B">
        <w:rPr>
          <w:rFonts w:asciiTheme="majorHAnsi" w:hAnsiTheme="majorHAnsi" w:cstheme="majorHAnsi"/>
          <w:sz w:val="24"/>
          <w:szCs w:val="24"/>
        </w:rPr>
        <w:t>Examen documentaire des guides existants sur l'élaboration de politiques fondées sur des données probantes</w:t>
      </w:r>
    </w:p>
    <w:p w14:paraId="65CC43D6" w14:textId="58B9FCF4" w:rsidR="00A0442B" w:rsidRPr="00A0442B" w:rsidRDefault="00A0442B" w:rsidP="00BE092C">
      <w:pPr>
        <w:pStyle w:val="Paragraphedeliste"/>
        <w:numPr>
          <w:ilvl w:val="1"/>
          <w:numId w:val="4"/>
        </w:numPr>
        <w:spacing w:before="240" w:after="0" w:line="276" w:lineRule="auto"/>
        <w:jc w:val="both"/>
        <w:rPr>
          <w:rFonts w:asciiTheme="majorHAnsi" w:hAnsiTheme="majorHAnsi" w:cstheme="majorHAnsi"/>
          <w:sz w:val="24"/>
          <w:szCs w:val="24"/>
        </w:rPr>
      </w:pPr>
      <w:r w:rsidRPr="00A0442B">
        <w:rPr>
          <w:rFonts w:asciiTheme="majorHAnsi" w:hAnsiTheme="majorHAnsi" w:cstheme="majorHAnsi"/>
          <w:sz w:val="24"/>
          <w:szCs w:val="24"/>
        </w:rPr>
        <w:t xml:space="preserve">Présentation des premiers résultats au comité d'élaboration des lignes directrices </w:t>
      </w:r>
    </w:p>
    <w:p w14:paraId="446AAE7B" w14:textId="5727237D" w:rsidR="00BE092C" w:rsidRDefault="00A0442B" w:rsidP="00BE092C">
      <w:pPr>
        <w:pStyle w:val="Paragraphedeliste"/>
        <w:numPr>
          <w:ilvl w:val="1"/>
          <w:numId w:val="4"/>
        </w:numPr>
        <w:spacing w:before="240" w:after="0" w:line="276" w:lineRule="auto"/>
        <w:jc w:val="both"/>
        <w:rPr>
          <w:rFonts w:asciiTheme="majorHAnsi" w:hAnsiTheme="majorHAnsi" w:cstheme="majorHAnsi"/>
          <w:sz w:val="24"/>
          <w:szCs w:val="24"/>
        </w:rPr>
      </w:pPr>
      <w:r w:rsidRPr="00BE092C">
        <w:rPr>
          <w:rFonts w:asciiTheme="majorHAnsi" w:hAnsiTheme="majorHAnsi" w:cstheme="majorHAnsi"/>
          <w:sz w:val="24"/>
          <w:szCs w:val="24"/>
        </w:rPr>
        <w:t>Diffusion au niveau des pays</w:t>
      </w:r>
    </w:p>
    <w:p w14:paraId="13894702" w14:textId="77777777" w:rsidR="00BE092C" w:rsidRPr="00BE092C" w:rsidRDefault="00BE092C" w:rsidP="00BE092C">
      <w:pPr>
        <w:pStyle w:val="Paragraphedeliste"/>
        <w:spacing w:before="240" w:after="0" w:line="276" w:lineRule="auto"/>
        <w:ind w:left="792"/>
        <w:jc w:val="both"/>
        <w:rPr>
          <w:rFonts w:asciiTheme="majorHAnsi" w:hAnsiTheme="majorHAnsi" w:cstheme="majorHAnsi"/>
          <w:sz w:val="24"/>
          <w:szCs w:val="24"/>
        </w:rPr>
      </w:pPr>
    </w:p>
    <w:p w14:paraId="66FA0E79" w14:textId="23626A0D" w:rsidR="00CF3FFC" w:rsidRPr="00A0442B" w:rsidRDefault="00BE092C" w:rsidP="00A0442B">
      <w:pPr>
        <w:pStyle w:val="Paragraphedeliste"/>
        <w:numPr>
          <w:ilvl w:val="0"/>
          <w:numId w:val="4"/>
        </w:numPr>
        <w:spacing w:before="240" w:after="0" w:line="276" w:lineRule="auto"/>
        <w:jc w:val="both"/>
        <w:rPr>
          <w:rFonts w:asciiTheme="majorHAnsi" w:hAnsiTheme="majorHAnsi" w:cstheme="majorHAnsi"/>
          <w:b/>
          <w:sz w:val="24"/>
          <w:szCs w:val="24"/>
        </w:rPr>
      </w:pPr>
      <w:r>
        <w:rPr>
          <w:rFonts w:asciiTheme="majorHAnsi" w:hAnsiTheme="majorHAnsi" w:cstheme="majorHAnsi"/>
          <w:b/>
          <w:sz w:val="24"/>
          <w:szCs w:val="24"/>
        </w:rPr>
        <w:t>Résultats attendus :</w:t>
      </w:r>
    </w:p>
    <w:p w14:paraId="78C0F933" w14:textId="15D34562" w:rsidR="00BE092C" w:rsidRPr="00BE092C" w:rsidRDefault="00BE092C" w:rsidP="00BE092C">
      <w:pPr>
        <w:pStyle w:val="Paragraphedeliste"/>
        <w:numPr>
          <w:ilvl w:val="0"/>
          <w:numId w:val="12"/>
        </w:numPr>
        <w:spacing w:line="276" w:lineRule="auto"/>
        <w:jc w:val="both"/>
        <w:rPr>
          <w:rFonts w:asciiTheme="majorHAnsi" w:hAnsiTheme="majorHAnsi" w:cstheme="majorHAnsi"/>
          <w:sz w:val="24"/>
          <w:szCs w:val="24"/>
        </w:rPr>
      </w:pPr>
      <w:r w:rsidRPr="00BE092C">
        <w:rPr>
          <w:rFonts w:asciiTheme="majorHAnsi" w:hAnsiTheme="majorHAnsi" w:cstheme="majorHAnsi"/>
          <w:sz w:val="24"/>
          <w:szCs w:val="24"/>
        </w:rPr>
        <w:t xml:space="preserve">Rapport 1 : revue intitulée " Le processus d'élaboration et de mise en œuvre des politiques de santé dans </w:t>
      </w:r>
      <w:r>
        <w:rPr>
          <w:rFonts w:asciiTheme="majorHAnsi" w:hAnsiTheme="majorHAnsi" w:cstheme="majorHAnsi"/>
          <w:sz w:val="24"/>
          <w:szCs w:val="24"/>
        </w:rPr>
        <w:t>l’espace</w:t>
      </w:r>
      <w:r w:rsidRPr="00BE092C">
        <w:rPr>
          <w:rFonts w:asciiTheme="majorHAnsi" w:hAnsiTheme="majorHAnsi" w:cstheme="majorHAnsi"/>
          <w:sz w:val="24"/>
          <w:szCs w:val="24"/>
        </w:rPr>
        <w:t xml:space="preserve"> de la CEDEAO ".</w:t>
      </w:r>
    </w:p>
    <w:p w14:paraId="1E251011" w14:textId="720AAD9F" w:rsidR="00BE092C" w:rsidRPr="00BE092C" w:rsidRDefault="00BE092C" w:rsidP="00BE092C">
      <w:pPr>
        <w:pStyle w:val="Paragraphedeliste"/>
        <w:numPr>
          <w:ilvl w:val="0"/>
          <w:numId w:val="12"/>
        </w:numPr>
        <w:spacing w:line="276" w:lineRule="auto"/>
        <w:jc w:val="both"/>
        <w:rPr>
          <w:rFonts w:asciiTheme="majorHAnsi" w:hAnsiTheme="majorHAnsi" w:cstheme="majorHAnsi"/>
          <w:sz w:val="24"/>
          <w:szCs w:val="24"/>
        </w:rPr>
      </w:pPr>
      <w:r w:rsidRPr="00BE092C">
        <w:rPr>
          <w:rFonts w:asciiTheme="majorHAnsi" w:hAnsiTheme="majorHAnsi" w:cstheme="majorHAnsi"/>
          <w:sz w:val="24"/>
          <w:szCs w:val="24"/>
        </w:rPr>
        <w:t>Rapport 2 : Examen des lignes directrices existantes en matière d'élaboration de politiques fondées sur des données probantes dans le domaine de la santé</w:t>
      </w:r>
    </w:p>
    <w:p w14:paraId="73C1857A" w14:textId="47E9D5C1" w:rsidR="00316CAB" w:rsidRDefault="00BE092C" w:rsidP="00BE092C">
      <w:pPr>
        <w:pStyle w:val="Paragraphedeliste"/>
        <w:numPr>
          <w:ilvl w:val="0"/>
          <w:numId w:val="12"/>
        </w:numPr>
        <w:spacing w:line="276" w:lineRule="auto"/>
        <w:jc w:val="both"/>
        <w:rPr>
          <w:rFonts w:asciiTheme="majorHAnsi" w:hAnsiTheme="majorHAnsi" w:cstheme="majorHAnsi"/>
          <w:sz w:val="24"/>
          <w:szCs w:val="24"/>
        </w:rPr>
      </w:pPr>
      <w:r w:rsidRPr="00BE092C">
        <w:rPr>
          <w:rFonts w:asciiTheme="majorHAnsi" w:hAnsiTheme="majorHAnsi" w:cstheme="majorHAnsi"/>
          <w:sz w:val="24"/>
          <w:szCs w:val="24"/>
        </w:rPr>
        <w:t xml:space="preserve">Guide intitulé " Élaboration de politiques de santé fondées sur des données probantes dans les pays de la CEDEAO : </w:t>
      </w:r>
      <w:r>
        <w:rPr>
          <w:rFonts w:asciiTheme="majorHAnsi" w:hAnsiTheme="majorHAnsi" w:cstheme="majorHAnsi"/>
          <w:sz w:val="24"/>
          <w:szCs w:val="24"/>
        </w:rPr>
        <w:t>guide</w:t>
      </w:r>
      <w:r w:rsidRPr="00BE092C">
        <w:rPr>
          <w:rFonts w:asciiTheme="majorHAnsi" w:hAnsiTheme="majorHAnsi" w:cstheme="majorHAnsi"/>
          <w:sz w:val="24"/>
          <w:szCs w:val="24"/>
        </w:rPr>
        <w:t xml:space="preserve"> pratique ".</w:t>
      </w:r>
    </w:p>
    <w:p w14:paraId="7FC78513" w14:textId="77777777" w:rsidR="00BE092C" w:rsidRPr="00BE092C" w:rsidRDefault="00BE092C" w:rsidP="00BE092C">
      <w:pPr>
        <w:pStyle w:val="Paragraphedeliste"/>
        <w:spacing w:line="276" w:lineRule="auto"/>
        <w:jc w:val="both"/>
        <w:rPr>
          <w:rFonts w:asciiTheme="majorHAnsi" w:hAnsiTheme="majorHAnsi" w:cstheme="majorHAnsi"/>
          <w:sz w:val="24"/>
          <w:szCs w:val="24"/>
        </w:rPr>
      </w:pPr>
    </w:p>
    <w:p w14:paraId="160D1637" w14:textId="35F25C0E" w:rsidR="00A71A81" w:rsidRPr="00A0442B" w:rsidRDefault="00BE092C" w:rsidP="00316CAB">
      <w:pPr>
        <w:pStyle w:val="Paragraphedeliste"/>
        <w:numPr>
          <w:ilvl w:val="0"/>
          <w:numId w:val="4"/>
        </w:numPr>
        <w:spacing w:before="240" w:after="0" w:line="276" w:lineRule="auto"/>
        <w:jc w:val="both"/>
        <w:rPr>
          <w:rFonts w:asciiTheme="majorHAnsi" w:hAnsiTheme="majorHAnsi" w:cstheme="majorHAnsi"/>
          <w:b/>
          <w:sz w:val="24"/>
          <w:szCs w:val="24"/>
        </w:rPr>
      </w:pPr>
      <w:r>
        <w:rPr>
          <w:rFonts w:asciiTheme="majorHAnsi" w:hAnsiTheme="majorHAnsi" w:cstheme="majorHAnsi"/>
          <w:b/>
          <w:sz w:val="24"/>
          <w:szCs w:val="24"/>
        </w:rPr>
        <w:t>Durée de la consultation</w:t>
      </w:r>
    </w:p>
    <w:p w14:paraId="16717A5D" w14:textId="1DE979E0" w:rsidR="002A3D31" w:rsidRDefault="002A3D31" w:rsidP="002A3D31">
      <w:pPr>
        <w:pStyle w:val="Paragraphedeliste"/>
        <w:spacing w:before="240"/>
        <w:ind w:left="360"/>
        <w:jc w:val="both"/>
        <w:rPr>
          <w:rFonts w:asciiTheme="majorHAnsi" w:hAnsiTheme="majorHAnsi" w:cstheme="majorHAnsi"/>
          <w:sz w:val="24"/>
          <w:szCs w:val="24"/>
        </w:rPr>
      </w:pPr>
      <w:r w:rsidRPr="002A3D31">
        <w:rPr>
          <w:rFonts w:asciiTheme="majorHAnsi" w:hAnsiTheme="majorHAnsi" w:cstheme="majorHAnsi"/>
          <w:sz w:val="24"/>
          <w:szCs w:val="24"/>
        </w:rPr>
        <w:t>La consultation durera</w:t>
      </w:r>
      <w:r w:rsidR="002C759C">
        <w:rPr>
          <w:rFonts w:asciiTheme="majorHAnsi" w:hAnsiTheme="majorHAnsi" w:cstheme="majorHAnsi"/>
          <w:sz w:val="24"/>
          <w:szCs w:val="24"/>
        </w:rPr>
        <w:t xml:space="preserve"> vingt (20) jour-</w:t>
      </w:r>
      <w:r w:rsidR="002C759C" w:rsidRPr="002A3D31">
        <w:rPr>
          <w:rFonts w:asciiTheme="majorHAnsi" w:hAnsiTheme="majorHAnsi" w:cstheme="majorHAnsi"/>
          <w:sz w:val="24"/>
          <w:szCs w:val="24"/>
        </w:rPr>
        <w:t>personne</w:t>
      </w:r>
      <w:r w:rsidR="002C759C">
        <w:rPr>
          <w:rFonts w:asciiTheme="majorHAnsi" w:hAnsiTheme="majorHAnsi" w:cstheme="majorHAnsi"/>
          <w:sz w:val="24"/>
          <w:szCs w:val="24"/>
        </w:rPr>
        <w:t xml:space="preserve"> de travail</w:t>
      </w:r>
      <w:r w:rsidRPr="002A3D31">
        <w:rPr>
          <w:rFonts w:asciiTheme="majorHAnsi" w:hAnsiTheme="majorHAnsi" w:cstheme="majorHAnsi"/>
          <w:sz w:val="24"/>
          <w:szCs w:val="24"/>
        </w:rPr>
        <w:t>.</w:t>
      </w:r>
    </w:p>
    <w:p w14:paraId="51D3C4A9" w14:textId="77777777" w:rsidR="002A3D31" w:rsidRDefault="002A3D31" w:rsidP="002A3D31">
      <w:pPr>
        <w:pStyle w:val="Paragraphedeliste"/>
        <w:spacing w:before="240"/>
        <w:ind w:left="360"/>
        <w:jc w:val="both"/>
        <w:rPr>
          <w:rFonts w:asciiTheme="majorHAnsi" w:hAnsiTheme="majorHAnsi" w:cstheme="majorHAnsi"/>
          <w:sz w:val="24"/>
          <w:szCs w:val="24"/>
        </w:rPr>
      </w:pPr>
    </w:p>
    <w:p w14:paraId="3EBE8FA5" w14:textId="6E4AA920" w:rsidR="00A23DE1" w:rsidRPr="00A0442B" w:rsidRDefault="003E4DB3" w:rsidP="002A3D31">
      <w:pPr>
        <w:pStyle w:val="Paragraphedeliste"/>
        <w:numPr>
          <w:ilvl w:val="0"/>
          <w:numId w:val="4"/>
        </w:numPr>
        <w:spacing w:before="240"/>
        <w:jc w:val="both"/>
        <w:rPr>
          <w:rFonts w:asciiTheme="majorHAnsi" w:hAnsiTheme="majorHAnsi" w:cstheme="majorHAnsi"/>
          <w:b/>
          <w:sz w:val="24"/>
          <w:szCs w:val="24"/>
        </w:rPr>
      </w:pPr>
      <w:r w:rsidRPr="00A0442B">
        <w:rPr>
          <w:rFonts w:asciiTheme="majorHAnsi" w:hAnsiTheme="majorHAnsi" w:cstheme="majorHAnsi"/>
          <w:b/>
          <w:sz w:val="24"/>
          <w:szCs w:val="24"/>
        </w:rPr>
        <w:t>P</w:t>
      </w:r>
      <w:r>
        <w:rPr>
          <w:rFonts w:asciiTheme="majorHAnsi" w:hAnsiTheme="majorHAnsi" w:cstheme="majorHAnsi"/>
          <w:b/>
          <w:sz w:val="24"/>
          <w:szCs w:val="24"/>
        </w:rPr>
        <w:t>rofil requis</w:t>
      </w:r>
      <w:r w:rsidR="00A71A81" w:rsidRPr="00A0442B">
        <w:rPr>
          <w:rFonts w:asciiTheme="majorHAnsi" w:hAnsiTheme="majorHAnsi" w:cstheme="majorHAnsi"/>
          <w:b/>
          <w:sz w:val="24"/>
          <w:szCs w:val="24"/>
        </w:rPr>
        <w:t xml:space="preserve"> </w:t>
      </w:r>
      <w:r>
        <w:rPr>
          <w:rFonts w:asciiTheme="majorHAnsi" w:hAnsiTheme="majorHAnsi" w:cstheme="majorHAnsi"/>
          <w:b/>
          <w:sz w:val="24"/>
          <w:szCs w:val="24"/>
        </w:rPr>
        <w:t>pour la consultance</w:t>
      </w:r>
      <w:r w:rsidR="00A71A81" w:rsidRPr="00A0442B">
        <w:rPr>
          <w:rFonts w:asciiTheme="majorHAnsi" w:hAnsiTheme="majorHAnsi" w:cstheme="majorHAnsi"/>
          <w:b/>
          <w:sz w:val="24"/>
          <w:szCs w:val="24"/>
        </w:rPr>
        <w:t xml:space="preserve"> </w:t>
      </w:r>
    </w:p>
    <w:p w14:paraId="145286D2" w14:textId="77777777" w:rsidR="003E4DB3" w:rsidRPr="003E4DB3" w:rsidRDefault="003E4DB3" w:rsidP="003E4DB3">
      <w:pPr>
        <w:spacing w:before="240"/>
        <w:jc w:val="both"/>
        <w:rPr>
          <w:rFonts w:asciiTheme="majorHAnsi" w:hAnsiTheme="majorHAnsi" w:cstheme="majorHAnsi"/>
          <w:sz w:val="24"/>
          <w:szCs w:val="24"/>
        </w:rPr>
      </w:pPr>
      <w:r w:rsidRPr="003E4DB3">
        <w:rPr>
          <w:rFonts w:asciiTheme="majorHAnsi" w:hAnsiTheme="majorHAnsi" w:cstheme="majorHAnsi"/>
          <w:sz w:val="24"/>
          <w:szCs w:val="24"/>
        </w:rPr>
        <w:t>Les soumissionnaires doivent posséder les qualifications suivantes :</w:t>
      </w:r>
    </w:p>
    <w:p w14:paraId="3D0AF484" w14:textId="22217C74" w:rsidR="003E4DB3" w:rsidRPr="003E4DB3" w:rsidRDefault="003E4DB3" w:rsidP="003E4DB3">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Diplôme d'études supérieures (maîtrise ou doctorat) en santé publique, en sociologie ou en médecine</w:t>
      </w:r>
      <w:r>
        <w:rPr>
          <w:rFonts w:asciiTheme="majorHAnsi" w:hAnsiTheme="majorHAnsi" w:cstheme="majorHAnsi"/>
          <w:sz w:val="24"/>
          <w:szCs w:val="24"/>
        </w:rPr>
        <w:t> ;</w:t>
      </w:r>
    </w:p>
    <w:p w14:paraId="685337B4" w14:textId="5975CB1A" w:rsidR="003E4DB3" w:rsidRPr="003E4DB3" w:rsidRDefault="003E4DB3" w:rsidP="003E4DB3">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Anthropologie, démograph</w:t>
      </w:r>
      <w:r>
        <w:rPr>
          <w:rFonts w:asciiTheme="majorHAnsi" w:hAnsiTheme="majorHAnsi" w:cstheme="majorHAnsi"/>
          <w:sz w:val="24"/>
          <w:szCs w:val="24"/>
        </w:rPr>
        <w:t>ie, développement international ;</w:t>
      </w:r>
    </w:p>
    <w:p w14:paraId="5B8CE6BB" w14:textId="11BDB62E" w:rsidR="003E4DB3" w:rsidRPr="003E4DB3" w:rsidRDefault="003E4DB3" w:rsidP="003E4DB3">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Bonne connaissance des pays d'Afrique de l'Ouest</w:t>
      </w:r>
      <w:r>
        <w:rPr>
          <w:rFonts w:asciiTheme="majorHAnsi" w:hAnsiTheme="majorHAnsi" w:cstheme="majorHAnsi"/>
          <w:sz w:val="24"/>
          <w:szCs w:val="24"/>
        </w:rPr>
        <w:t> ;</w:t>
      </w:r>
    </w:p>
    <w:p w14:paraId="477C74D1" w14:textId="317E4A67" w:rsidR="003E4DB3" w:rsidRPr="003E4DB3" w:rsidRDefault="003E4DB3" w:rsidP="003E4DB3">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Avoir une expérience similaire de mission de développement de guide</w:t>
      </w:r>
      <w:r>
        <w:rPr>
          <w:rFonts w:asciiTheme="majorHAnsi" w:hAnsiTheme="majorHAnsi" w:cstheme="majorHAnsi"/>
          <w:sz w:val="24"/>
          <w:szCs w:val="24"/>
        </w:rPr>
        <w:t> ;</w:t>
      </w:r>
    </w:p>
    <w:p w14:paraId="0A8223F7" w14:textId="4C8B803E" w:rsidR="003E4DB3" w:rsidRDefault="003E4DB3" w:rsidP="00DD432C">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Expérience démontrée dans l'un des domaines suivants : Transfert de connaissances, élaboration de politiques fondées sur des données probantes, formu</w:t>
      </w:r>
      <w:r>
        <w:rPr>
          <w:rFonts w:asciiTheme="majorHAnsi" w:hAnsiTheme="majorHAnsi" w:cstheme="majorHAnsi"/>
          <w:sz w:val="24"/>
          <w:szCs w:val="24"/>
        </w:rPr>
        <w:t>lation et analyse de politiques ;</w:t>
      </w:r>
    </w:p>
    <w:p w14:paraId="4B3D5B80" w14:textId="4DB77209" w:rsidR="003E4DB3" w:rsidRDefault="003E4DB3" w:rsidP="00583BE1">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Au moins 10 ans d'expérience dans le domaine de la santé publique</w:t>
      </w:r>
      <w:r>
        <w:rPr>
          <w:rFonts w:asciiTheme="majorHAnsi" w:hAnsiTheme="majorHAnsi" w:cstheme="majorHAnsi"/>
          <w:sz w:val="24"/>
          <w:szCs w:val="24"/>
        </w:rPr>
        <w:t>, MNCH en Afrique subsaharienne ;</w:t>
      </w:r>
    </w:p>
    <w:p w14:paraId="15C861D9" w14:textId="2F23B539" w:rsidR="003D07EA" w:rsidRPr="00303574" w:rsidRDefault="003E4DB3" w:rsidP="00303574">
      <w:pPr>
        <w:pStyle w:val="Paragraphedeliste"/>
        <w:numPr>
          <w:ilvl w:val="0"/>
          <w:numId w:val="15"/>
        </w:numPr>
        <w:spacing w:before="240"/>
        <w:jc w:val="both"/>
        <w:rPr>
          <w:rFonts w:asciiTheme="majorHAnsi" w:hAnsiTheme="majorHAnsi" w:cstheme="majorHAnsi"/>
          <w:sz w:val="24"/>
          <w:szCs w:val="24"/>
        </w:rPr>
      </w:pPr>
      <w:r w:rsidRPr="003E4DB3">
        <w:rPr>
          <w:rFonts w:asciiTheme="majorHAnsi" w:hAnsiTheme="majorHAnsi" w:cstheme="majorHAnsi"/>
          <w:sz w:val="24"/>
          <w:szCs w:val="24"/>
        </w:rPr>
        <w:t>Maîtrise de l'anglais avec un niveau professionnel en français.</w:t>
      </w:r>
      <w:bookmarkStart w:id="0" w:name="_GoBack"/>
      <w:bookmarkEnd w:id="0"/>
    </w:p>
    <w:sectPr w:rsidR="003D07EA" w:rsidRPr="00303574" w:rsidSect="00082E30">
      <w:footerReference w:type="default" r:id="rId10"/>
      <w:pgSz w:w="11906" w:h="16838"/>
      <w:pgMar w:top="1276" w:right="108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DA64E" w14:textId="77777777" w:rsidR="00EF4FD6" w:rsidRDefault="00EF4FD6" w:rsidP="0047248C">
      <w:pPr>
        <w:spacing w:after="0" w:line="240" w:lineRule="auto"/>
      </w:pPr>
      <w:r>
        <w:separator/>
      </w:r>
    </w:p>
  </w:endnote>
  <w:endnote w:type="continuationSeparator" w:id="0">
    <w:p w14:paraId="4A31F872" w14:textId="77777777" w:rsidR="00EF4FD6" w:rsidRDefault="00EF4FD6" w:rsidP="0047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507958"/>
      <w:docPartObj>
        <w:docPartGallery w:val="Page Numbers (Bottom of Page)"/>
        <w:docPartUnique/>
      </w:docPartObj>
    </w:sdtPr>
    <w:sdtEndPr>
      <w:rPr>
        <w:noProof/>
      </w:rPr>
    </w:sdtEndPr>
    <w:sdtContent>
      <w:p w14:paraId="62C33077" w14:textId="4D469F72" w:rsidR="00A20850" w:rsidRDefault="00A20850">
        <w:pPr>
          <w:pStyle w:val="Pieddepage"/>
          <w:jc w:val="right"/>
        </w:pPr>
        <w:r>
          <w:fldChar w:fldCharType="begin"/>
        </w:r>
        <w:r>
          <w:instrText xml:space="preserve"> PAGE   \* MERGEFORMAT </w:instrText>
        </w:r>
        <w:r>
          <w:fldChar w:fldCharType="separate"/>
        </w:r>
        <w:r w:rsidR="00303574">
          <w:rPr>
            <w:noProof/>
          </w:rPr>
          <w:t>1</w:t>
        </w:r>
        <w:r>
          <w:rPr>
            <w:noProof/>
          </w:rPr>
          <w:fldChar w:fldCharType="end"/>
        </w:r>
      </w:p>
    </w:sdtContent>
  </w:sdt>
  <w:p w14:paraId="4E315DC9" w14:textId="77777777" w:rsidR="00A20850" w:rsidRDefault="00A208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4DFE" w14:textId="77777777" w:rsidR="00EF4FD6" w:rsidRDefault="00EF4FD6" w:rsidP="0047248C">
      <w:pPr>
        <w:spacing w:after="0" w:line="240" w:lineRule="auto"/>
      </w:pPr>
      <w:r>
        <w:separator/>
      </w:r>
    </w:p>
  </w:footnote>
  <w:footnote w:type="continuationSeparator" w:id="0">
    <w:p w14:paraId="305DE5ED" w14:textId="77777777" w:rsidR="00EF4FD6" w:rsidRDefault="00EF4FD6" w:rsidP="00472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BD1"/>
    <w:multiLevelType w:val="hybridMultilevel"/>
    <w:tmpl w:val="76B6A224"/>
    <w:lvl w:ilvl="0" w:tplc="272071D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82A"/>
    <w:multiLevelType w:val="hybridMultilevel"/>
    <w:tmpl w:val="1C4292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14A2B"/>
    <w:multiLevelType w:val="hybridMultilevel"/>
    <w:tmpl w:val="12D4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47372"/>
    <w:multiLevelType w:val="hybridMultilevel"/>
    <w:tmpl w:val="FBDCEF58"/>
    <w:lvl w:ilvl="0" w:tplc="15EED3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DFC"/>
    <w:multiLevelType w:val="hybridMultilevel"/>
    <w:tmpl w:val="71D0B318"/>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A53DA"/>
    <w:multiLevelType w:val="hybridMultilevel"/>
    <w:tmpl w:val="2E26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8040D"/>
    <w:multiLevelType w:val="hybridMultilevel"/>
    <w:tmpl w:val="B1A6C65C"/>
    <w:lvl w:ilvl="0" w:tplc="B2C0F9D2">
      <w:start w:val="1"/>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81B"/>
    <w:multiLevelType w:val="hybridMultilevel"/>
    <w:tmpl w:val="17A80CA0"/>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E56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2251F"/>
    <w:multiLevelType w:val="hybridMultilevel"/>
    <w:tmpl w:val="AEBA8228"/>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0102"/>
    <w:multiLevelType w:val="hybridMultilevel"/>
    <w:tmpl w:val="9658526A"/>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F5053"/>
    <w:multiLevelType w:val="hybridMultilevel"/>
    <w:tmpl w:val="A33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12FF0"/>
    <w:multiLevelType w:val="hybridMultilevel"/>
    <w:tmpl w:val="AFBEA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C70963"/>
    <w:multiLevelType w:val="hybridMultilevel"/>
    <w:tmpl w:val="18EEB97E"/>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1475F"/>
    <w:multiLevelType w:val="hybridMultilevel"/>
    <w:tmpl w:val="2CF29642"/>
    <w:lvl w:ilvl="0" w:tplc="2960C8B4">
      <w:start w:val="1"/>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5223C"/>
    <w:multiLevelType w:val="hybridMultilevel"/>
    <w:tmpl w:val="1700A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DAA388B"/>
    <w:multiLevelType w:val="hybridMultilevel"/>
    <w:tmpl w:val="ED72BEA8"/>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12"/>
  </w:num>
  <w:num w:numId="6">
    <w:abstractNumId w:val="7"/>
  </w:num>
  <w:num w:numId="7">
    <w:abstractNumId w:val="15"/>
  </w:num>
  <w:num w:numId="8">
    <w:abstractNumId w:val="2"/>
  </w:num>
  <w:num w:numId="9">
    <w:abstractNumId w:val="4"/>
  </w:num>
  <w:num w:numId="10">
    <w:abstractNumId w:val="13"/>
  </w:num>
  <w:num w:numId="11">
    <w:abstractNumId w:val="11"/>
  </w:num>
  <w:num w:numId="12">
    <w:abstractNumId w:val="16"/>
  </w:num>
  <w:num w:numId="13">
    <w:abstractNumId w:val="5"/>
  </w:num>
  <w:num w:numId="14">
    <w:abstractNumId w:val="6"/>
  </w:num>
  <w:num w:numId="15">
    <w:abstractNumId w:val="9"/>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62"/>
    <w:rsid w:val="00024875"/>
    <w:rsid w:val="00051F69"/>
    <w:rsid w:val="00057363"/>
    <w:rsid w:val="00066C62"/>
    <w:rsid w:val="00067D85"/>
    <w:rsid w:val="00082E30"/>
    <w:rsid w:val="000A3E8A"/>
    <w:rsid w:val="000C6602"/>
    <w:rsid w:val="000F1224"/>
    <w:rsid w:val="000F7746"/>
    <w:rsid w:val="00111689"/>
    <w:rsid w:val="00135A25"/>
    <w:rsid w:val="00141DEA"/>
    <w:rsid w:val="001503C4"/>
    <w:rsid w:val="00153122"/>
    <w:rsid w:val="00156440"/>
    <w:rsid w:val="00170BC8"/>
    <w:rsid w:val="00185A0C"/>
    <w:rsid w:val="001C27DC"/>
    <w:rsid w:val="001D3B61"/>
    <w:rsid w:val="001F5A88"/>
    <w:rsid w:val="00264221"/>
    <w:rsid w:val="00270551"/>
    <w:rsid w:val="00270853"/>
    <w:rsid w:val="00282428"/>
    <w:rsid w:val="002910EF"/>
    <w:rsid w:val="00294FA6"/>
    <w:rsid w:val="002A3D31"/>
    <w:rsid w:val="002B7EA1"/>
    <w:rsid w:val="002B7F15"/>
    <w:rsid w:val="002C0E88"/>
    <w:rsid w:val="002C5D98"/>
    <w:rsid w:val="002C6B0C"/>
    <w:rsid w:val="002C759C"/>
    <w:rsid w:val="002F4F14"/>
    <w:rsid w:val="00303574"/>
    <w:rsid w:val="00316C30"/>
    <w:rsid w:val="00316CAB"/>
    <w:rsid w:val="00337124"/>
    <w:rsid w:val="00356307"/>
    <w:rsid w:val="0036543F"/>
    <w:rsid w:val="00372258"/>
    <w:rsid w:val="00372365"/>
    <w:rsid w:val="003817E5"/>
    <w:rsid w:val="00384301"/>
    <w:rsid w:val="003B77D2"/>
    <w:rsid w:val="003C2D67"/>
    <w:rsid w:val="003D07EA"/>
    <w:rsid w:val="003D545C"/>
    <w:rsid w:val="003E4DB3"/>
    <w:rsid w:val="003F2E14"/>
    <w:rsid w:val="00470741"/>
    <w:rsid w:val="0047248C"/>
    <w:rsid w:val="004E0262"/>
    <w:rsid w:val="004E353D"/>
    <w:rsid w:val="004F512C"/>
    <w:rsid w:val="004F5684"/>
    <w:rsid w:val="00514E8D"/>
    <w:rsid w:val="00546CA4"/>
    <w:rsid w:val="00564695"/>
    <w:rsid w:val="00582CA0"/>
    <w:rsid w:val="00605A00"/>
    <w:rsid w:val="00607BE3"/>
    <w:rsid w:val="00641260"/>
    <w:rsid w:val="006774F5"/>
    <w:rsid w:val="00677CB5"/>
    <w:rsid w:val="006952C0"/>
    <w:rsid w:val="006967AB"/>
    <w:rsid w:val="006A0D9E"/>
    <w:rsid w:val="006E0104"/>
    <w:rsid w:val="00704189"/>
    <w:rsid w:val="00712BE9"/>
    <w:rsid w:val="00715975"/>
    <w:rsid w:val="00737922"/>
    <w:rsid w:val="007541BB"/>
    <w:rsid w:val="0077507F"/>
    <w:rsid w:val="00775B4D"/>
    <w:rsid w:val="007B74AF"/>
    <w:rsid w:val="007F2C4C"/>
    <w:rsid w:val="007F5747"/>
    <w:rsid w:val="007F58A5"/>
    <w:rsid w:val="00807F0B"/>
    <w:rsid w:val="0083111C"/>
    <w:rsid w:val="00837B5D"/>
    <w:rsid w:val="0086187C"/>
    <w:rsid w:val="00866367"/>
    <w:rsid w:val="00875AE2"/>
    <w:rsid w:val="00895C92"/>
    <w:rsid w:val="008A2E4D"/>
    <w:rsid w:val="008C1690"/>
    <w:rsid w:val="008C4C34"/>
    <w:rsid w:val="008D2109"/>
    <w:rsid w:val="00903B96"/>
    <w:rsid w:val="00952969"/>
    <w:rsid w:val="009574F3"/>
    <w:rsid w:val="00963FB7"/>
    <w:rsid w:val="009656E7"/>
    <w:rsid w:val="009721FA"/>
    <w:rsid w:val="00977A0D"/>
    <w:rsid w:val="00980815"/>
    <w:rsid w:val="009B73D7"/>
    <w:rsid w:val="009C2743"/>
    <w:rsid w:val="009E4D40"/>
    <w:rsid w:val="00A0442B"/>
    <w:rsid w:val="00A20850"/>
    <w:rsid w:val="00A23DE1"/>
    <w:rsid w:val="00A538D9"/>
    <w:rsid w:val="00A71A81"/>
    <w:rsid w:val="00A9363B"/>
    <w:rsid w:val="00AA7A06"/>
    <w:rsid w:val="00AE067A"/>
    <w:rsid w:val="00B3749D"/>
    <w:rsid w:val="00B66525"/>
    <w:rsid w:val="00B67C46"/>
    <w:rsid w:val="00B72C3A"/>
    <w:rsid w:val="00B83AEB"/>
    <w:rsid w:val="00BA4514"/>
    <w:rsid w:val="00BA5B78"/>
    <w:rsid w:val="00BD3115"/>
    <w:rsid w:val="00BD6580"/>
    <w:rsid w:val="00BE092C"/>
    <w:rsid w:val="00BE39B7"/>
    <w:rsid w:val="00BF7F06"/>
    <w:rsid w:val="00C32D24"/>
    <w:rsid w:val="00C562FB"/>
    <w:rsid w:val="00C85D3A"/>
    <w:rsid w:val="00C87EC0"/>
    <w:rsid w:val="00CA4C80"/>
    <w:rsid w:val="00CD0054"/>
    <w:rsid w:val="00CF3FFC"/>
    <w:rsid w:val="00D021B3"/>
    <w:rsid w:val="00D07174"/>
    <w:rsid w:val="00D31354"/>
    <w:rsid w:val="00D36D7B"/>
    <w:rsid w:val="00D4274A"/>
    <w:rsid w:val="00D86D99"/>
    <w:rsid w:val="00D95BAE"/>
    <w:rsid w:val="00DE47D2"/>
    <w:rsid w:val="00DF3295"/>
    <w:rsid w:val="00DF5377"/>
    <w:rsid w:val="00E02521"/>
    <w:rsid w:val="00E165D6"/>
    <w:rsid w:val="00E2067C"/>
    <w:rsid w:val="00E21D15"/>
    <w:rsid w:val="00E34485"/>
    <w:rsid w:val="00E35E16"/>
    <w:rsid w:val="00E539E2"/>
    <w:rsid w:val="00E7775D"/>
    <w:rsid w:val="00E83B02"/>
    <w:rsid w:val="00E8586A"/>
    <w:rsid w:val="00EB277E"/>
    <w:rsid w:val="00EF4FD6"/>
    <w:rsid w:val="00EF6D93"/>
    <w:rsid w:val="00F01905"/>
    <w:rsid w:val="00F065EF"/>
    <w:rsid w:val="00F4721B"/>
    <w:rsid w:val="00F76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BF64C"/>
  <w15:chartTrackingRefBased/>
  <w15:docId w15:val="{01158EAE-E6AA-4E19-A4E1-7CA884C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0C"/>
  </w:style>
  <w:style w:type="paragraph" w:styleId="Titre1">
    <w:name w:val="heading 1"/>
    <w:basedOn w:val="Normal"/>
    <w:next w:val="Normal"/>
    <w:link w:val="Titre1Car"/>
    <w:uiPriority w:val="9"/>
    <w:qFormat/>
    <w:rsid w:val="002C6B0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2C6B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2C6B0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2C6B0C"/>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2C6B0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2C6B0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2C6B0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2C6B0C"/>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2C6B0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6B0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2C6B0C"/>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2C6B0C"/>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2C6B0C"/>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2C6B0C"/>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2C6B0C"/>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2C6B0C"/>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2C6B0C"/>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2C6B0C"/>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2C6B0C"/>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2C6B0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2C6B0C"/>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2C6B0C"/>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C6B0C"/>
    <w:rPr>
      <w:rFonts w:asciiTheme="majorHAnsi" w:eastAsiaTheme="majorEastAsia" w:hAnsiTheme="majorHAnsi" w:cstheme="majorBidi"/>
      <w:sz w:val="24"/>
      <w:szCs w:val="24"/>
    </w:rPr>
  </w:style>
  <w:style w:type="character" w:styleId="lev">
    <w:name w:val="Strong"/>
    <w:basedOn w:val="Policepardfaut"/>
    <w:uiPriority w:val="22"/>
    <w:qFormat/>
    <w:rsid w:val="002C6B0C"/>
    <w:rPr>
      <w:b/>
      <w:bCs/>
    </w:rPr>
  </w:style>
  <w:style w:type="character" w:styleId="Accentuation">
    <w:name w:val="Emphasis"/>
    <w:basedOn w:val="Policepardfaut"/>
    <w:uiPriority w:val="20"/>
    <w:qFormat/>
    <w:rsid w:val="002C6B0C"/>
    <w:rPr>
      <w:i/>
      <w:iCs/>
    </w:rPr>
  </w:style>
  <w:style w:type="paragraph" w:styleId="Sansinterligne">
    <w:name w:val="No Spacing"/>
    <w:uiPriority w:val="1"/>
    <w:qFormat/>
    <w:rsid w:val="002C6B0C"/>
    <w:pPr>
      <w:spacing w:after="0" w:line="240" w:lineRule="auto"/>
    </w:pPr>
  </w:style>
  <w:style w:type="paragraph" w:styleId="Citation">
    <w:name w:val="Quote"/>
    <w:basedOn w:val="Normal"/>
    <w:next w:val="Normal"/>
    <w:link w:val="CitationCar"/>
    <w:uiPriority w:val="29"/>
    <w:qFormat/>
    <w:rsid w:val="002C6B0C"/>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2C6B0C"/>
    <w:rPr>
      <w:i/>
      <w:iCs/>
      <w:color w:val="404040" w:themeColor="text1" w:themeTint="BF"/>
    </w:rPr>
  </w:style>
  <w:style w:type="paragraph" w:styleId="Citationintense">
    <w:name w:val="Intense Quote"/>
    <w:basedOn w:val="Normal"/>
    <w:next w:val="Normal"/>
    <w:link w:val="CitationintenseCar"/>
    <w:uiPriority w:val="30"/>
    <w:qFormat/>
    <w:rsid w:val="002C6B0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2C6B0C"/>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2C6B0C"/>
    <w:rPr>
      <w:i/>
      <w:iCs/>
      <w:color w:val="404040" w:themeColor="text1" w:themeTint="BF"/>
    </w:rPr>
  </w:style>
  <w:style w:type="character" w:styleId="Emphaseintense">
    <w:name w:val="Intense Emphasis"/>
    <w:basedOn w:val="Policepardfaut"/>
    <w:uiPriority w:val="21"/>
    <w:qFormat/>
    <w:rsid w:val="002C6B0C"/>
    <w:rPr>
      <w:b/>
      <w:bCs/>
      <w:i/>
      <w:iCs/>
    </w:rPr>
  </w:style>
  <w:style w:type="character" w:styleId="Rfrenceple">
    <w:name w:val="Subtle Reference"/>
    <w:basedOn w:val="Policepardfaut"/>
    <w:uiPriority w:val="31"/>
    <w:qFormat/>
    <w:rsid w:val="002C6B0C"/>
    <w:rPr>
      <w:smallCaps/>
      <w:color w:val="404040" w:themeColor="text1" w:themeTint="BF"/>
      <w:u w:val="single" w:color="7F7F7F" w:themeColor="text1" w:themeTint="80"/>
    </w:rPr>
  </w:style>
  <w:style w:type="character" w:styleId="Rfrenceintense">
    <w:name w:val="Intense Reference"/>
    <w:basedOn w:val="Policepardfaut"/>
    <w:uiPriority w:val="32"/>
    <w:qFormat/>
    <w:rsid w:val="002C6B0C"/>
    <w:rPr>
      <w:b/>
      <w:bCs/>
      <w:smallCaps/>
      <w:spacing w:val="5"/>
      <w:u w:val="single"/>
    </w:rPr>
  </w:style>
  <w:style w:type="character" w:styleId="Titredulivre">
    <w:name w:val="Book Title"/>
    <w:basedOn w:val="Policepardfaut"/>
    <w:uiPriority w:val="33"/>
    <w:qFormat/>
    <w:rsid w:val="002C6B0C"/>
    <w:rPr>
      <w:b/>
      <w:bCs/>
      <w:smallCaps/>
    </w:rPr>
  </w:style>
  <w:style w:type="paragraph" w:styleId="En-ttedetabledesmatires">
    <w:name w:val="TOC Heading"/>
    <w:basedOn w:val="Titre1"/>
    <w:next w:val="Normal"/>
    <w:uiPriority w:val="39"/>
    <w:semiHidden/>
    <w:unhideWhenUsed/>
    <w:qFormat/>
    <w:rsid w:val="002C6B0C"/>
    <w:pPr>
      <w:outlineLvl w:val="9"/>
    </w:pPr>
  </w:style>
  <w:style w:type="paragraph" w:styleId="Paragraphedeliste">
    <w:name w:val="List Paragraph"/>
    <w:basedOn w:val="Normal"/>
    <w:uiPriority w:val="34"/>
    <w:qFormat/>
    <w:rsid w:val="004F5684"/>
    <w:pPr>
      <w:ind w:left="720"/>
      <w:contextualSpacing/>
    </w:pPr>
  </w:style>
  <w:style w:type="paragraph" w:styleId="Notedebasdepage">
    <w:name w:val="footnote text"/>
    <w:basedOn w:val="Normal"/>
    <w:link w:val="NotedebasdepageCar"/>
    <w:uiPriority w:val="99"/>
    <w:semiHidden/>
    <w:unhideWhenUsed/>
    <w:rsid w:val="0047248C"/>
    <w:pPr>
      <w:spacing w:after="0" w:line="240" w:lineRule="auto"/>
    </w:pPr>
  </w:style>
  <w:style w:type="character" w:customStyle="1" w:styleId="NotedebasdepageCar">
    <w:name w:val="Note de bas de page Car"/>
    <w:basedOn w:val="Policepardfaut"/>
    <w:link w:val="Notedebasdepage"/>
    <w:uiPriority w:val="99"/>
    <w:semiHidden/>
    <w:rsid w:val="0047248C"/>
  </w:style>
  <w:style w:type="character" w:styleId="Appelnotedebasdep">
    <w:name w:val="footnote reference"/>
    <w:basedOn w:val="Policepardfaut"/>
    <w:uiPriority w:val="99"/>
    <w:semiHidden/>
    <w:unhideWhenUsed/>
    <w:rsid w:val="0047248C"/>
    <w:rPr>
      <w:vertAlign w:val="superscript"/>
    </w:rPr>
  </w:style>
  <w:style w:type="paragraph" w:styleId="NormalWeb">
    <w:name w:val="Normal (Web)"/>
    <w:basedOn w:val="Normal"/>
    <w:uiPriority w:val="99"/>
    <w:unhideWhenUsed/>
    <w:rsid w:val="004724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082E30"/>
    <w:pPr>
      <w:tabs>
        <w:tab w:val="center" w:pos="4536"/>
        <w:tab w:val="right" w:pos="9072"/>
      </w:tabs>
      <w:spacing w:after="0" w:line="240" w:lineRule="auto"/>
    </w:pPr>
  </w:style>
  <w:style w:type="character" w:customStyle="1" w:styleId="En-tteCar">
    <w:name w:val="En-tête Car"/>
    <w:basedOn w:val="Policepardfaut"/>
    <w:link w:val="En-tte"/>
    <w:uiPriority w:val="99"/>
    <w:rsid w:val="00082E30"/>
  </w:style>
  <w:style w:type="paragraph" w:styleId="Pieddepage">
    <w:name w:val="footer"/>
    <w:basedOn w:val="Normal"/>
    <w:link w:val="PieddepageCar"/>
    <w:uiPriority w:val="99"/>
    <w:unhideWhenUsed/>
    <w:rsid w:val="00082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E30"/>
  </w:style>
  <w:style w:type="table" w:styleId="Grilledutableau">
    <w:name w:val="Table Grid"/>
    <w:basedOn w:val="TableauNormal"/>
    <w:uiPriority w:val="39"/>
    <w:rsid w:val="0027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12BE9"/>
    <w:rPr>
      <w:sz w:val="16"/>
      <w:szCs w:val="16"/>
    </w:rPr>
  </w:style>
  <w:style w:type="paragraph" w:styleId="Commentaire">
    <w:name w:val="annotation text"/>
    <w:basedOn w:val="Normal"/>
    <w:link w:val="CommentaireCar"/>
    <w:uiPriority w:val="99"/>
    <w:semiHidden/>
    <w:unhideWhenUsed/>
    <w:rsid w:val="00712BE9"/>
    <w:pPr>
      <w:spacing w:line="240" w:lineRule="auto"/>
    </w:pPr>
  </w:style>
  <w:style w:type="character" w:customStyle="1" w:styleId="CommentaireCar">
    <w:name w:val="Commentaire Car"/>
    <w:basedOn w:val="Policepardfaut"/>
    <w:link w:val="Commentaire"/>
    <w:uiPriority w:val="99"/>
    <w:semiHidden/>
    <w:rsid w:val="00712BE9"/>
  </w:style>
  <w:style w:type="paragraph" w:styleId="Objetducommentaire">
    <w:name w:val="annotation subject"/>
    <w:basedOn w:val="Commentaire"/>
    <w:next w:val="Commentaire"/>
    <w:link w:val="ObjetducommentaireCar"/>
    <w:uiPriority w:val="99"/>
    <w:semiHidden/>
    <w:unhideWhenUsed/>
    <w:rsid w:val="00712BE9"/>
    <w:rPr>
      <w:b/>
      <w:bCs/>
    </w:rPr>
  </w:style>
  <w:style w:type="character" w:customStyle="1" w:styleId="ObjetducommentaireCar">
    <w:name w:val="Objet du commentaire Car"/>
    <w:basedOn w:val="CommentaireCar"/>
    <w:link w:val="Objetducommentaire"/>
    <w:uiPriority w:val="99"/>
    <w:semiHidden/>
    <w:rsid w:val="00712BE9"/>
    <w:rPr>
      <w:b/>
      <w:bCs/>
    </w:rPr>
  </w:style>
  <w:style w:type="paragraph" w:styleId="Textedebulles">
    <w:name w:val="Balloon Text"/>
    <w:basedOn w:val="Normal"/>
    <w:link w:val="TextedebullesCar"/>
    <w:uiPriority w:val="99"/>
    <w:semiHidden/>
    <w:unhideWhenUsed/>
    <w:rsid w:val="00712B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2BE9"/>
    <w:rPr>
      <w:rFonts w:ascii="Segoe UI" w:hAnsi="Segoe UI" w:cs="Segoe UI"/>
      <w:sz w:val="18"/>
      <w:szCs w:val="18"/>
    </w:rPr>
  </w:style>
  <w:style w:type="character" w:styleId="Lienhypertexte">
    <w:name w:val="Hyperlink"/>
    <w:basedOn w:val="Policepardfaut"/>
    <w:uiPriority w:val="99"/>
    <w:unhideWhenUsed/>
    <w:rsid w:val="003B77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2734">
      <w:bodyDiv w:val="1"/>
      <w:marLeft w:val="0"/>
      <w:marRight w:val="0"/>
      <w:marTop w:val="0"/>
      <w:marBottom w:val="0"/>
      <w:divBdr>
        <w:top w:val="none" w:sz="0" w:space="0" w:color="auto"/>
        <w:left w:val="none" w:sz="0" w:space="0" w:color="auto"/>
        <w:bottom w:val="none" w:sz="0" w:space="0" w:color="auto"/>
        <w:right w:val="none" w:sz="0" w:space="0" w:color="auto"/>
      </w:divBdr>
    </w:div>
    <w:div w:id="388117625">
      <w:bodyDiv w:val="1"/>
      <w:marLeft w:val="0"/>
      <w:marRight w:val="0"/>
      <w:marTop w:val="0"/>
      <w:marBottom w:val="0"/>
      <w:divBdr>
        <w:top w:val="none" w:sz="0" w:space="0" w:color="auto"/>
        <w:left w:val="none" w:sz="0" w:space="0" w:color="auto"/>
        <w:bottom w:val="none" w:sz="0" w:space="0" w:color="auto"/>
        <w:right w:val="none" w:sz="0" w:space="0" w:color="auto"/>
      </w:divBdr>
    </w:div>
    <w:div w:id="759301219">
      <w:bodyDiv w:val="1"/>
      <w:marLeft w:val="0"/>
      <w:marRight w:val="0"/>
      <w:marTop w:val="0"/>
      <w:marBottom w:val="0"/>
      <w:divBdr>
        <w:top w:val="none" w:sz="0" w:space="0" w:color="auto"/>
        <w:left w:val="none" w:sz="0" w:space="0" w:color="auto"/>
        <w:bottom w:val="none" w:sz="0" w:space="0" w:color="auto"/>
        <w:right w:val="none" w:sz="0" w:space="0" w:color="auto"/>
      </w:divBdr>
    </w:div>
    <w:div w:id="838926653">
      <w:bodyDiv w:val="1"/>
      <w:marLeft w:val="0"/>
      <w:marRight w:val="0"/>
      <w:marTop w:val="0"/>
      <w:marBottom w:val="0"/>
      <w:divBdr>
        <w:top w:val="none" w:sz="0" w:space="0" w:color="auto"/>
        <w:left w:val="none" w:sz="0" w:space="0" w:color="auto"/>
        <w:bottom w:val="none" w:sz="0" w:space="0" w:color="auto"/>
        <w:right w:val="none" w:sz="0" w:space="0" w:color="auto"/>
      </w:divBdr>
    </w:div>
    <w:div w:id="1170636002">
      <w:bodyDiv w:val="1"/>
      <w:marLeft w:val="0"/>
      <w:marRight w:val="0"/>
      <w:marTop w:val="0"/>
      <w:marBottom w:val="0"/>
      <w:divBdr>
        <w:top w:val="none" w:sz="0" w:space="0" w:color="auto"/>
        <w:left w:val="none" w:sz="0" w:space="0" w:color="auto"/>
        <w:bottom w:val="none" w:sz="0" w:space="0" w:color="auto"/>
        <w:right w:val="none" w:sz="0" w:space="0" w:color="auto"/>
      </w:divBdr>
    </w:div>
    <w:div w:id="12602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EFDD-D557-4E2F-A724-0134E5C2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725</Words>
  <Characters>3993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West African Health Organisation (WAHO)</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JErmel</dc:creator>
  <cp:keywords/>
  <dc:description/>
  <cp:lastModifiedBy>MBACKE Oumar</cp:lastModifiedBy>
  <cp:revision>8</cp:revision>
  <dcterms:created xsi:type="dcterms:W3CDTF">2018-06-06T12:30:00Z</dcterms:created>
  <dcterms:modified xsi:type="dcterms:W3CDTF">2018-10-02T10:39:00Z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3f835808-c62f-371c-9fef-6946e6a2c35a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